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D8" w:rsidRPr="00AE31D8" w:rsidRDefault="00AE31D8" w:rsidP="00AE31D8">
      <w:pPr>
        <w:jc w:val="center"/>
        <w:rPr>
          <w:rFonts w:ascii="黑体" w:eastAsia="黑体" w:hAnsi="宋体" w:hint="eastAsia"/>
          <w:b/>
          <w:bCs/>
          <w:sz w:val="48"/>
        </w:rPr>
      </w:pPr>
      <w:r w:rsidRPr="00AE31D8">
        <w:rPr>
          <w:rFonts w:ascii="黑体" w:eastAsia="黑体" w:hAnsi="宋体" w:hint="eastAsia"/>
          <w:b/>
          <w:bCs/>
          <w:sz w:val="48"/>
        </w:rPr>
        <w:t>水利部老年大学</w:t>
      </w:r>
    </w:p>
    <w:p w:rsidR="00AE31D8" w:rsidRPr="00AE31D8" w:rsidRDefault="00AE31D8" w:rsidP="00AE31D8">
      <w:pPr>
        <w:jc w:val="center"/>
        <w:rPr>
          <w:rFonts w:ascii="黑体" w:eastAsia="黑体" w:hAnsi="宋体" w:hint="eastAsia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朗诵表演</w:t>
      </w:r>
      <w:r w:rsidRPr="00AE31D8">
        <w:rPr>
          <w:rFonts w:ascii="黑体" w:eastAsia="黑体" w:hAnsi="宋体" w:hint="eastAsia"/>
          <w:b/>
          <w:bCs/>
          <w:sz w:val="48"/>
        </w:rPr>
        <w:t>教学计划进度表</w:t>
      </w:r>
    </w:p>
    <w:p w:rsidR="00AE31D8" w:rsidRDefault="00AE31D8" w:rsidP="00AE31D8">
      <w:pPr>
        <w:jc w:val="center"/>
        <w:rPr>
          <w:rFonts w:ascii="宋体" w:hAnsi="宋体"/>
          <w:sz w:val="36"/>
          <w:szCs w:val="36"/>
        </w:rPr>
      </w:pPr>
      <w:r w:rsidRPr="00AE31D8">
        <w:rPr>
          <w:rFonts w:ascii="宋体" w:hAnsi="宋体" w:hint="eastAsia"/>
          <w:sz w:val="36"/>
          <w:szCs w:val="36"/>
        </w:rPr>
        <w:t>（</w:t>
      </w:r>
      <w:r w:rsidRPr="00AE31D8">
        <w:rPr>
          <w:rFonts w:ascii="宋体" w:hAnsi="宋体"/>
          <w:sz w:val="36"/>
          <w:szCs w:val="36"/>
        </w:rPr>
        <w:t>2021</w:t>
      </w:r>
      <w:r w:rsidRPr="00AE31D8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36"/>
          <w:szCs w:val="36"/>
        </w:rPr>
        <w:t>秋季</w:t>
      </w:r>
      <w:r w:rsidRPr="00AE31D8">
        <w:rPr>
          <w:rFonts w:ascii="宋体" w:hAnsi="宋体" w:hint="eastAsia"/>
          <w:sz w:val="36"/>
          <w:szCs w:val="36"/>
        </w:rPr>
        <w:t>学期）</w:t>
      </w:r>
    </w:p>
    <w:p w:rsidR="00AE31D8" w:rsidRPr="00AE31D8" w:rsidRDefault="00AE31D8" w:rsidP="00AE31D8">
      <w:pPr>
        <w:rPr>
          <w:rFonts w:ascii="宋体" w:hAnsi="宋体" w:hint="eastAsia"/>
          <w:sz w:val="36"/>
          <w:szCs w:val="36"/>
        </w:rPr>
      </w:pPr>
      <w:r w:rsidRPr="00AE31D8">
        <w:rPr>
          <w:rFonts w:ascii="宋体" w:hAnsi="宋体" w:hint="eastAsia"/>
          <w:sz w:val="28"/>
          <w:szCs w:val="28"/>
        </w:rPr>
        <w:t>班次：</w:t>
      </w:r>
      <w:r>
        <w:rPr>
          <w:rFonts w:ascii="宋体" w:hAnsi="宋体" w:hint="eastAsia"/>
          <w:sz w:val="28"/>
          <w:szCs w:val="28"/>
        </w:rPr>
        <w:t xml:space="preserve">朗诵表演    </w:t>
      </w:r>
      <w:r w:rsidRPr="00AE31D8">
        <w:rPr>
          <w:rFonts w:ascii="宋体" w:hAnsi="宋体" w:hint="eastAsia"/>
          <w:sz w:val="28"/>
          <w:szCs w:val="28"/>
        </w:rPr>
        <w:t xml:space="preserve"> </w:t>
      </w:r>
      <w:r w:rsidRPr="00AE31D8">
        <w:rPr>
          <w:rFonts w:ascii="仿宋_GB2312" w:eastAsia="仿宋_GB2312" w:hAnsi="宋体" w:hint="eastAsia"/>
          <w:sz w:val="28"/>
          <w:szCs w:val="28"/>
        </w:rPr>
        <w:t xml:space="preserve"> 教师：</w:t>
      </w:r>
      <w:r>
        <w:rPr>
          <w:rFonts w:ascii="仿宋_GB2312" w:eastAsia="仿宋_GB2312" w:hAnsi="宋体" w:hint="eastAsia"/>
          <w:sz w:val="28"/>
          <w:szCs w:val="28"/>
        </w:rPr>
        <w:t>池旭红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AE31D8">
        <w:rPr>
          <w:rFonts w:ascii="宋体" w:hAnsi="宋体" w:hint="eastAsia"/>
          <w:sz w:val="28"/>
          <w:szCs w:val="28"/>
        </w:rPr>
        <w:t>时间：周</w:t>
      </w:r>
      <w:r>
        <w:rPr>
          <w:rFonts w:ascii="宋体" w:hAnsi="宋体" w:hint="eastAsia"/>
          <w:sz w:val="28"/>
          <w:szCs w:val="28"/>
        </w:rPr>
        <w:t>一</w:t>
      </w:r>
      <w:r w:rsidRPr="00AE31D8">
        <w:rPr>
          <w:rFonts w:ascii="宋体" w:hAnsi="宋体" w:hint="eastAsia"/>
          <w:sz w:val="28"/>
          <w:szCs w:val="28"/>
        </w:rPr>
        <w:t>下午</w:t>
      </w:r>
      <w:r>
        <w:rPr>
          <w:rFonts w:ascii="宋体" w:hAnsi="宋体"/>
          <w:sz w:val="28"/>
          <w:szCs w:val="28"/>
        </w:rPr>
        <w:t>14</w:t>
      </w:r>
      <w:r w:rsidRPr="00AE31D8">
        <w:rPr>
          <w:rFonts w:ascii="宋体" w:hAnsi="宋体" w:hint="eastAsia"/>
          <w:sz w:val="28"/>
          <w:szCs w:val="28"/>
        </w:rPr>
        <w:t>:</w:t>
      </w:r>
      <w:r w:rsidRPr="00AE31D8">
        <w:rPr>
          <w:rFonts w:ascii="宋体" w:hAnsi="宋体"/>
          <w:sz w:val="28"/>
          <w:szCs w:val="28"/>
        </w:rPr>
        <w:t>00-</w:t>
      </w:r>
      <w:r>
        <w:rPr>
          <w:rFonts w:ascii="宋体" w:hAnsi="宋体"/>
          <w:sz w:val="28"/>
          <w:szCs w:val="28"/>
        </w:rPr>
        <w:t>15</w:t>
      </w:r>
      <w:bookmarkStart w:id="0" w:name="_GoBack"/>
      <w:bookmarkEnd w:id="0"/>
      <w:r w:rsidRPr="00AE31D8">
        <w:rPr>
          <w:rFonts w:ascii="宋体" w:hAnsi="宋体"/>
          <w:sz w:val="28"/>
          <w:szCs w:val="28"/>
        </w:rPr>
        <w:t>:30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3590"/>
        <w:gridCol w:w="3699"/>
      </w:tblGrid>
      <w:tr w:rsidR="00555E1C" w:rsidRPr="00723A4D" w:rsidTr="00723A4D">
        <w:trPr>
          <w:trHeight w:val="616"/>
        </w:trPr>
        <w:tc>
          <w:tcPr>
            <w:tcW w:w="1233" w:type="dxa"/>
          </w:tcPr>
          <w:p w:rsidR="00555E1C" w:rsidRPr="00723A4D" w:rsidRDefault="00555E1C" w:rsidP="004A592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3590" w:type="dxa"/>
          </w:tcPr>
          <w:p w:rsidR="00555E1C" w:rsidRPr="00723A4D" w:rsidRDefault="00555E1C" w:rsidP="004A592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3699" w:type="dxa"/>
          </w:tcPr>
          <w:p w:rsidR="00555E1C" w:rsidRPr="00723A4D" w:rsidRDefault="00555E1C" w:rsidP="004A592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重点要点</w:t>
            </w:r>
          </w:p>
        </w:tc>
      </w:tr>
      <w:tr w:rsidR="00555E1C" w:rsidRPr="00723A4D" w:rsidTr="00723A4D">
        <w:trPr>
          <w:trHeight w:val="850"/>
        </w:trPr>
        <w:tc>
          <w:tcPr>
            <w:tcW w:w="1233" w:type="dxa"/>
          </w:tcPr>
          <w:p w:rsidR="00555E1C" w:rsidRPr="00723A4D" w:rsidRDefault="00555E1C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第一周</w:t>
            </w:r>
          </w:p>
        </w:tc>
        <w:tc>
          <w:tcPr>
            <w:tcW w:w="3590" w:type="dxa"/>
          </w:tcPr>
          <w:p w:rsidR="00555E1C" w:rsidRPr="008745F8" w:rsidRDefault="008D475E" w:rsidP="008745F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TW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TW"/>
              </w:rPr>
              <w:t>基本功训练</w:t>
            </w:r>
            <w:r w:rsidR="008745F8"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TW"/>
              </w:rPr>
              <w:t>：</w:t>
            </w:r>
            <w:r w:rsidR="00477CFD"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吐字归音、用气发声</w:t>
            </w: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、绕口令训练</w:t>
            </w:r>
          </w:p>
        </w:tc>
        <w:tc>
          <w:tcPr>
            <w:tcW w:w="3699" w:type="dxa"/>
          </w:tcPr>
          <w:p w:rsidR="00555E1C" w:rsidRPr="00723A4D" w:rsidRDefault="008D475E" w:rsidP="004A592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462AE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绕口令在锻炼语言基本功方面起着矫正发音部位、促使反应敏捷、用气自如、吐字清晰自如等重要作用。结合绕口令进行语言基本功的训练不失为一种有趣、奏效的途径。</w:t>
            </w:r>
          </w:p>
        </w:tc>
      </w:tr>
      <w:tr w:rsidR="00555E1C" w:rsidRPr="00723A4D" w:rsidTr="00723A4D">
        <w:trPr>
          <w:trHeight w:val="90"/>
        </w:trPr>
        <w:tc>
          <w:tcPr>
            <w:tcW w:w="1233" w:type="dxa"/>
          </w:tcPr>
          <w:p w:rsidR="00555E1C" w:rsidRPr="00723A4D" w:rsidRDefault="00555E1C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第二周</w:t>
            </w:r>
          </w:p>
        </w:tc>
        <w:tc>
          <w:tcPr>
            <w:tcW w:w="3590" w:type="dxa"/>
          </w:tcPr>
          <w:p w:rsidR="00905389" w:rsidRPr="00723A4D" w:rsidRDefault="00905389" w:rsidP="008745F8">
            <w:pPr>
              <w:ind w:firstLineChars="500" w:firstLine="90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现代诗歌《乡愁》</w:t>
            </w:r>
          </w:p>
        </w:tc>
        <w:tc>
          <w:tcPr>
            <w:tcW w:w="3699" w:type="dxa"/>
          </w:tcPr>
          <w:p w:rsidR="00555E1C" w:rsidRPr="00723A4D" w:rsidRDefault="00E10259" w:rsidP="004A59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结合自身生活体验去感受诗人的感情。对邮票、船票、坟墓、海峡四个特殊意象的体会把握</w:t>
            </w:r>
          </w:p>
        </w:tc>
      </w:tr>
      <w:tr w:rsidR="00555E1C" w:rsidRPr="00723A4D" w:rsidTr="00723A4D">
        <w:trPr>
          <w:trHeight w:val="850"/>
        </w:trPr>
        <w:tc>
          <w:tcPr>
            <w:tcW w:w="1233" w:type="dxa"/>
          </w:tcPr>
          <w:p w:rsidR="00555E1C" w:rsidRPr="00723A4D" w:rsidRDefault="00555E1C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第三周</w:t>
            </w:r>
          </w:p>
        </w:tc>
        <w:tc>
          <w:tcPr>
            <w:tcW w:w="3590" w:type="dxa"/>
          </w:tcPr>
          <w:p w:rsidR="00905389" w:rsidRPr="00723A4D" w:rsidRDefault="00905389" w:rsidP="008745F8">
            <w:pPr>
              <w:ind w:firstLineChars="450" w:firstLine="81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现代诗歌《致橡树》</w:t>
            </w:r>
          </w:p>
        </w:tc>
        <w:tc>
          <w:tcPr>
            <w:tcW w:w="3699" w:type="dxa"/>
          </w:tcPr>
          <w:p w:rsidR="00555E1C" w:rsidRPr="00723A4D" w:rsidRDefault="00905389" w:rsidP="004A59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了解全诗内容、重点把握诗中的语言风格、表现手法，具体特点</w:t>
            </w:r>
          </w:p>
        </w:tc>
      </w:tr>
      <w:tr w:rsidR="00555E1C" w:rsidRPr="00723A4D" w:rsidTr="00723A4D">
        <w:trPr>
          <w:trHeight w:val="850"/>
        </w:trPr>
        <w:tc>
          <w:tcPr>
            <w:tcW w:w="1233" w:type="dxa"/>
          </w:tcPr>
          <w:p w:rsidR="00555E1C" w:rsidRPr="00723A4D" w:rsidRDefault="00555E1C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第四周</w:t>
            </w:r>
          </w:p>
        </w:tc>
        <w:tc>
          <w:tcPr>
            <w:tcW w:w="3590" w:type="dxa"/>
          </w:tcPr>
          <w:p w:rsidR="001B39C6" w:rsidRPr="00723A4D" w:rsidRDefault="00E10259" w:rsidP="008745F8">
            <w:pPr>
              <w:ind w:firstLineChars="650" w:firstLine="117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古代作品</w:t>
            </w:r>
            <w:r w:rsidR="000D1680"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《悯农》《夜雨寄北》</w:t>
            </w:r>
            <w:r w:rsidR="001B39C6"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《清明》《虞美人》《春江花月夜》《潼关怀古》</w:t>
            </w:r>
          </w:p>
        </w:tc>
        <w:tc>
          <w:tcPr>
            <w:tcW w:w="3699" w:type="dxa"/>
          </w:tcPr>
          <w:p w:rsidR="00555E1C" w:rsidRPr="00723A4D" w:rsidRDefault="000D1680" w:rsidP="004A59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语气的运用</w:t>
            </w:r>
            <w:r w:rsidR="001B39C6"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，重点掌握语句行进的趋向和态势，一般分为五类，朗诵诗歌还要加一类六类、</w:t>
            </w:r>
          </w:p>
        </w:tc>
      </w:tr>
      <w:tr w:rsidR="00555E1C" w:rsidRPr="00723A4D" w:rsidTr="00723A4D">
        <w:trPr>
          <w:trHeight w:val="850"/>
        </w:trPr>
        <w:tc>
          <w:tcPr>
            <w:tcW w:w="1233" w:type="dxa"/>
          </w:tcPr>
          <w:p w:rsidR="00555E1C" w:rsidRPr="00723A4D" w:rsidRDefault="00555E1C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第五周</w:t>
            </w:r>
          </w:p>
        </w:tc>
        <w:tc>
          <w:tcPr>
            <w:tcW w:w="3590" w:type="dxa"/>
          </w:tcPr>
          <w:p w:rsidR="001B39C6" w:rsidRPr="008745F8" w:rsidRDefault="001B39C6" w:rsidP="008745F8">
            <w:pPr>
              <w:ind w:firstLineChars="500" w:firstLine="90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古代作品</w:t>
            </w:r>
            <w:r w:rsidR="008745F8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《人日思归》《题菊花</w:t>
            </w: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《</w:t>
            </w:r>
            <w:r w:rsidR="00E83547"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长相思</w:t>
            </w: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》</w:t>
            </w:r>
            <w:r w:rsidR="00711F84"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白居易、纳兰性德</w:t>
            </w:r>
          </w:p>
        </w:tc>
        <w:tc>
          <w:tcPr>
            <w:tcW w:w="3699" w:type="dxa"/>
          </w:tcPr>
          <w:p w:rsidR="00555E1C" w:rsidRPr="00723A4D" w:rsidRDefault="001B39C6" w:rsidP="004A59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语势的连接，</w:t>
            </w:r>
            <w:r w:rsidR="00E83547"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从诗句的句首、句腹、句尾起点、波形和落点上体会和把握其差别，可以划出趋向和态势，也可以从声音到高低起伏上辨别它们的变化</w:t>
            </w:r>
          </w:p>
        </w:tc>
      </w:tr>
      <w:tr w:rsidR="00555E1C" w:rsidRPr="00723A4D" w:rsidTr="00723A4D">
        <w:trPr>
          <w:trHeight w:val="850"/>
        </w:trPr>
        <w:tc>
          <w:tcPr>
            <w:tcW w:w="1233" w:type="dxa"/>
          </w:tcPr>
          <w:p w:rsidR="00555E1C" w:rsidRPr="00723A4D" w:rsidRDefault="00555E1C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第六周</w:t>
            </w:r>
          </w:p>
        </w:tc>
        <w:tc>
          <w:tcPr>
            <w:tcW w:w="3590" w:type="dxa"/>
          </w:tcPr>
          <w:p w:rsidR="00555E1C" w:rsidRPr="008745F8" w:rsidRDefault="00711F84" w:rsidP="008745F8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现代诗歌《相信未来》</w:t>
            </w:r>
          </w:p>
        </w:tc>
        <w:tc>
          <w:tcPr>
            <w:tcW w:w="3699" w:type="dxa"/>
          </w:tcPr>
          <w:p w:rsidR="00555E1C" w:rsidRPr="00723A4D" w:rsidRDefault="00711F84" w:rsidP="004A59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分析作品、了解作者及写作背景、把握基调。</w:t>
            </w:r>
          </w:p>
        </w:tc>
      </w:tr>
      <w:tr w:rsidR="00555E1C" w:rsidRPr="00723A4D" w:rsidTr="00723A4D">
        <w:trPr>
          <w:trHeight w:val="850"/>
        </w:trPr>
        <w:tc>
          <w:tcPr>
            <w:tcW w:w="1233" w:type="dxa"/>
          </w:tcPr>
          <w:p w:rsidR="00555E1C" w:rsidRPr="00723A4D" w:rsidRDefault="00555E1C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第七周</w:t>
            </w:r>
          </w:p>
        </w:tc>
        <w:tc>
          <w:tcPr>
            <w:tcW w:w="3590" w:type="dxa"/>
          </w:tcPr>
          <w:p w:rsidR="00555E1C" w:rsidRPr="008745F8" w:rsidRDefault="00711F84" w:rsidP="008745F8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现代诗歌《相信未来》</w:t>
            </w:r>
          </w:p>
        </w:tc>
        <w:tc>
          <w:tcPr>
            <w:tcW w:w="3699" w:type="dxa"/>
          </w:tcPr>
          <w:p w:rsidR="00555E1C" w:rsidRPr="00723A4D" w:rsidRDefault="004A7DED" w:rsidP="004A592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分组练习，老师示范，配乐</w:t>
            </w:r>
          </w:p>
        </w:tc>
      </w:tr>
      <w:tr w:rsidR="00555E1C" w:rsidRPr="00723A4D" w:rsidTr="00723A4D">
        <w:trPr>
          <w:trHeight w:val="850"/>
        </w:trPr>
        <w:tc>
          <w:tcPr>
            <w:tcW w:w="1233" w:type="dxa"/>
          </w:tcPr>
          <w:p w:rsidR="00555E1C" w:rsidRPr="00723A4D" w:rsidRDefault="00555E1C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第八周</w:t>
            </w:r>
          </w:p>
        </w:tc>
        <w:tc>
          <w:tcPr>
            <w:tcW w:w="3590" w:type="dxa"/>
          </w:tcPr>
          <w:p w:rsidR="00555E1C" w:rsidRPr="008745F8" w:rsidRDefault="004A7DED" w:rsidP="008745F8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现代诗歌《相信未来》</w:t>
            </w:r>
          </w:p>
        </w:tc>
        <w:tc>
          <w:tcPr>
            <w:tcW w:w="3699" w:type="dxa"/>
          </w:tcPr>
          <w:p w:rsidR="00555E1C" w:rsidRPr="00723A4D" w:rsidRDefault="004A7DED" w:rsidP="004A59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作品赏析（朱军、濮存昕）视频，</w:t>
            </w:r>
            <w:r w:rsidRPr="00723A4D">
              <w:rPr>
                <w:rFonts w:asciiTheme="minorEastAsia" w:eastAsiaTheme="minorEastAsia" w:hAnsiTheme="minorEastAsia" w:hint="eastAsia"/>
                <w:sz w:val="18"/>
                <w:szCs w:val="18"/>
              </w:rPr>
              <w:t>让学生对两种停顿经行比较分析。</w:t>
            </w:r>
          </w:p>
        </w:tc>
      </w:tr>
      <w:tr w:rsidR="00555E1C" w:rsidRPr="00723A4D" w:rsidTr="00723A4D">
        <w:trPr>
          <w:trHeight w:val="850"/>
        </w:trPr>
        <w:tc>
          <w:tcPr>
            <w:tcW w:w="1233" w:type="dxa"/>
          </w:tcPr>
          <w:p w:rsidR="00555E1C" w:rsidRPr="00723A4D" w:rsidRDefault="00555E1C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第九周</w:t>
            </w:r>
          </w:p>
        </w:tc>
        <w:tc>
          <w:tcPr>
            <w:tcW w:w="3590" w:type="dxa"/>
          </w:tcPr>
          <w:p w:rsidR="00555E1C" w:rsidRPr="008745F8" w:rsidRDefault="004A7DED" w:rsidP="008745F8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现代诗歌《英雄》</w:t>
            </w:r>
          </w:p>
        </w:tc>
        <w:tc>
          <w:tcPr>
            <w:tcW w:w="3699" w:type="dxa"/>
          </w:tcPr>
          <w:p w:rsidR="00555E1C" w:rsidRPr="00723A4D" w:rsidRDefault="004A7DED" w:rsidP="004A592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分析作品、了解作者及写作背景、把握基调。语势、语态、停连节奏重音的变化</w:t>
            </w:r>
          </w:p>
        </w:tc>
      </w:tr>
      <w:tr w:rsidR="00555E1C" w:rsidRPr="00723A4D" w:rsidTr="00723A4D">
        <w:trPr>
          <w:trHeight w:val="850"/>
        </w:trPr>
        <w:tc>
          <w:tcPr>
            <w:tcW w:w="1233" w:type="dxa"/>
          </w:tcPr>
          <w:p w:rsidR="00555E1C" w:rsidRPr="00723A4D" w:rsidRDefault="00555E1C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第十周</w:t>
            </w:r>
          </w:p>
        </w:tc>
        <w:tc>
          <w:tcPr>
            <w:tcW w:w="3590" w:type="dxa"/>
          </w:tcPr>
          <w:p w:rsidR="00555E1C" w:rsidRPr="008745F8" w:rsidRDefault="004A7DED" w:rsidP="008745F8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现代诗歌《英雄》</w:t>
            </w:r>
          </w:p>
        </w:tc>
        <w:tc>
          <w:tcPr>
            <w:tcW w:w="3699" w:type="dxa"/>
          </w:tcPr>
          <w:p w:rsidR="00555E1C" w:rsidRPr="00723A4D" w:rsidRDefault="004A7DED" w:rsidP="004A592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分组练习，老师示范，配乐</w:t>
            </w:r>
          </w:p>
        </w:tc>
      </w:tr>
      <w:tr w:rsidR="00555E1C" w:rsidRPr="00723A4D" w:rsidTr="00723A4D">
        <w:trPr>
          <w:trHeight w:val="850"/>
        </w:trPr>
        <w:tc>
          <w:tcPr>
            <w:tcW w:w="1233" w:type="dxa"/>
          </w:tcPr>
          <w:p w:rsidR="00555E1C" w:rsidRPr="00723A4D" w:rsidRDefault="00555E1C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第十一周</w:t>
            </w:r>
          </w:p>
        </w:tc>
        <w:tc>
          <w:tcPr>
            <w:tcW w:w="3590" w:type="dxa"/>
          </w:tcPr>
          <w:p w:rsidR="004A7DED" w:rsidRPr="00723A4D" w:rsidRDefault="004A7DED" w:rsidP="008745F8">
            <w:pPr>
              <w:ind w:firstLineChars="350" w:firstLine="63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散  文《海燕》</w:t>
            </w:r>
          </w:p>
        </w:tc>
        <w:tc>
          <w:tcPr>
            <w:tcW w:w="3699" w:type="dxa"/>
          </w:tcPr>
          <w:p w:rsidR="00555E1C" w:rsidRPr="00723A4D" w:rsidRDefault="00D50A98" w:rsidP="00D50A9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917BDE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分析作品、把握散文的基调，处理好快与慢、刚与柔、低与高的关系切忌通篇声嘶力竭地喊</w:t>
            </w:r>
            <w:r w:rsidRPr="00917BDE"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  <w:t>,</w:t>
            </w:r>
            <w:r w:rsidRPr="00917BDE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。</w:t>
            </w:r>
          </w:p>
        </w:tc>
      </w:tr>
      <w:tr w:rsidR="00555E1C" w:rsidRPr="00723A4D" w:rsidTr="00723A4D">
        <w:trPr>
          <w:trHeight w:val="850"/>
        </w:trPr>
        <w:tc>
          <w:tcPr>
            <w:tcW w:w="1233" w:type="dxa"/>
          </w:tcPr>
          <w:p w:rsidR="00555E1C" w:rsidRPr="00723A4D" w:rsidRDefault="00555E1C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第十二周</w:t>
            </w:r>
          </w:p>
        </w:tc>
        <w:tc>
          <w:tcPr>
            <w:tcW w:w="3590" w:type="dxa"/>
          </w:tcPr>
          <w:p w:rsidR="00555E1C" w:rsidRPr="00723A4D" w:rsidRDefault="004A7DED" w:rsidP="008745F8">
            <w:pPr>
              <w:ind w:firstLineChars="350" w:firstLine="63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散  文《海燕》</w:t>
            </w:r>
          </w:p>
        </w:tc>
        <w:tc>
          <w:tcPr>
            <w:tcW w:w="3699" w:type="dxa"/>
          </w:tcPr>
          <w:p w:rsidR="00555E1C" w:rsidRPr="00723A4D" w:rsidRDefault="00D50A98" w:rsidP="004A592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分组练习，老师示范，配乐</w:t>
            </w:r>
          </w:p>
        </w:tc>
      </w:tr>
      <w:tr w:rsidR="00555E1C" w:rsidRPr="00723A4D" w:rsidTr="00723A4D">
        <w:trPr>
          <w:trHeight w:val="850"/>
        </w:trPr>
        <w:tc>
          <w:tcPr>
            <w:tcW w:w="1233" w:type="dxa"/>
          </w:tcPr>
          <w:p w:rsidR="00555E1C" w:rsidRPr="00723A4D" w:rsidRDefault="00555E1C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第十三周</w:t>
            </w:r>
          </w:p>
        </w:tc>
        <w:tc>
          <w:tcPr>
            <w:tcW w:w="3590" w:type="dxa"/>
          </w:tcPr>
          <w:p w:rsidR="00555E1C" w:rsidRPr="00723A4D" w:rsidRDefault="004A7DED" w:rsidP="008745F8">
            <w:pPr>
              <w:ind w:firstLineChars="350" w:firstLine="63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散  文《海燕》</w:t>
            </w:r>
          </w:p>
        </w:tc>
        <w:tc>
          <w:tcPr>
            <w:tcW w:w="3699" w:type="dxa"/>
          </w:tcPr>
          <w:p w:rsidR="00555E1C" w:rsidRPr="00723A4D" w:rsidRDefault="00D50A98" w:rsidP="00D50A9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作品赏析（濮存昕）视频，</w:t>
            </w:r>
            <w:r w:rsidRPr="00723A4D">
              <w:rPr>
                <w:rFonts w:asciiTheme="minorEastAsia" w:eastAsiaTheme="minorEastAsia" w:hAnsiTheme="minorEastAsia" w:hint="eastAsia"/>
                <w:sz w:val="18"/>
                <w:szCs w:val="18"/>
              </w:rPr>
              <w:t>让学生感受停连关系及重音。对作品的感受力。</w:t>
            </w:r>
          </w:p>
        </w:tc>
      </w:tr>
      <w:tr w:rsidR="00723A4D" w:rsidRPr="00723A4D" w:rsidTr="00723A4D">
        <w:trPr>
          <w:trHeight w:val="850"/>
        </w:trPr>
        <w:tc>
          <w:tcPr>
            <w:tcW w:w="1233" w:type="dxa"/>
          </w:tcPr>
          <w:p w:rsidR="00723A4D" w:rsidRPr="00723A4D" w:rsidRDefault="00723A4D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第十四周</w:t>
            </w:r>
          </w:p>
        </w:tc>
        <w:tc>
          <w:tcPr>
            <w:tcW w:w="3590" w:type="dxa"/>
          </w:tcPr>
          <w:p w:rsidR="00723A4D" w:rsidRPr="00723A4D" w:rsidRDefault="00723A4D" w:rsidP="008745F8">
            <w:pPr>
              <w:ind w:firstLineChars="350" w:firstLine="63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散  文《荷塘月色》</w:t>
            </w:r>
          </w:p>
        </w:tc>
        <w:tc>
          <w:tcPr>
            <w:tcW w:w="3699" w:type="dxa"/>
          </w:tcPr>
          <w:p w:rsidR="00723A4D" w:rsidRPr="00723A4D" w:rsidRDefault="00723A4D" w:rsidP="00723A4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0F3780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分析作品、把握散文的基调，技巧处理得当，叠音字的强调、重音的变化</w:t>
            </w:r>
          </w:p>
        </w:tc>
      </w:tr>
      <w:tr w:rsidR="00723A4D" w:rsidRPr="00723A4D" w:rsidTr="00723A4D">
        <w:trPr>
          <w:trHeight w:val="850"/>
        </w:trPr>
        <w:tc>
          <w:tcPr>
            <w:tcW w:w="1233" w:type="dxa"/>
          </w:tcPr>
          <w:p w:rsidR="00723A4D" w:rsidRPr="00723A4D" w:rsidRDefault="00723A4D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第十五周</w:t>
            </w:r>
          </w:p>
        </w:tc>
        <w:tc>
          <w:tcPr>
            <w:tcW w:w="3590" w:type="dxa"/>
          </w:tcPr>
          <w:p w:rsidR="00723A4D" w:rsidRPr="00723A4D" w:rsidRDefault="00723A4D" w:rsidP="008745F8">
            <w:pPr>
              <w:ind w:firstLineChars="350" w:firstLine="63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散  文《荷塘月色》</w:t>
            </w:r>
          </w:p>
        </w:tc>
        <w:tc>
          <w:tcPr>
            <w:tcW w:w="3699" w:type="dxa"/>
          </w:tcPr>
          <w:p w:rsidR="00723A4D" w:rsidRPr="00723A4D" w:rsidRDefault="00723A4D" w:rsidP="004A592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分组练习，老师示范，配乐</w:t>
            </w:r>
          </w:p>
        </w:tc>
      </w:tr>
      <w:tr w:rsidR="00723A4D" w:rsidRPr="00723A4D" w:rsidTr="00723A4D">
        <w:trPr>
          <w:trHeight w:val="850"/>
        </w:trPr>
        <w:tc>
          <w:tcPr>
            <w:tcW w:w="1233" w:type="dxa"/>
          </w:tcPr>
          <w:p w:rsidR="00723A4D" w:rsidRPr="00723A4D" w:rsidRDefault="00723A4D" w:rsidP="00723A4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第十六周</w:t>
            </w:r>
          </w:p>
        </w:tc>
        <w:tc>
          <w:tcPr>
            <w:tcW w:w="3590" w:type="dxa"/>
          </w:tcPr>
          <w:p w:rsidR="00723A4D" w:rsidRPr="008745F8" w:rsidRDefault="00723A4D" w:rsidP="008745F8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本学期汇报展示</w:t>
            </w:r>
            <w:r w:rsidR="008745F8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：</w:t>
            </w: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学员按照节目单依次展示</w:t>
            </w:r>
            <w:r w:rsidR="008745F8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，</w:t>
            </w: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并做本学期感想交流</w:t>
            </w:r>
          </w:p>
        </w:tc>
        <w:tc>
          <w:tcPr>
            <w:tcW w:w="3699" w:type="dxa"/>
          </w:tcPr>
          <w:p w:rsidR="00723A4D" w:rsidRPr="00723A4D" w:rsidRDefault="00723A4D" w:rsidP="004A592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舞台站立的姿态</w:t>
            </w:r>
          </w:p>
          <w:p w:rsidR="00723A4D" w:rsidRPr="00723A4D" w:rsidRDefault="00723A4D" w:rsidP="004A592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设计恰当手势、表情、形体在表演中的正确恰当配合</w:t>
            </w:r>
          </w:p>
          <w:p w:rsidR="00723A4D" w:rsidRPr="00723A4D" w:rsidRDefault="00723A4D" w:rsidP="004A592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设计好开头和结尾</w:t>
            </w:r>
          </w:p>
          <w:p w:rsidR="00723A4D" w:rsidRPr="00723A4D" w:rsidRDefault="00723A4D" w:rsidP="004A592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382ECE" w:rsidRPr="00723A4D" w:rsidRDefault="00382ECE">
      <w:pPr>
        <w:rPr>
          <w:rFonts w:asciiTheme="minorEastAsia" w:eastAsiaTheme="minorEastAsia" w:hAnsiTheme="minorEastAsia"/>
          <w:sz w:val="18"/>
          <w:szCs w:val="18"/>
        </w:rPr>
      </w:pPr>
    </w:p>
    <w:sectPr w:rsidR="00382ECE" w:rsidRPr="00723A4D" w:rsidSect="00F64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C0A" w:rsidRDefault="00173C0A" w:rsidP="00477CFD">
      <w:r>
        <w:separator/>
      </w:r>
    </w:p>
  </w:endnote>
  <w:endnote w:type="continuationSeparator" w:id="0">
    <w:p w:rsidR="00173C0A" w:rsidRDefault="00173C0A" w:rsidP="0047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C0A" w:rsidRDefault="00173C0A" w:rsidP="00477CFD">
      <w:r>
        <w:separator/>
      </w:r>
    </w:p>
  </w:footnote>
  <w:footnote w:type="continuationSeparator" w:id="0">
    <w:p w:rsidR="00173C0A" w:rsidRDefault="00173C0A" w:rsidP="0047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E1C"/>
    <w:rsid w:val="000D1680"/>
    <w:rsid w:val="000F3780"/>
    <w:rsid w:val="00173C0A"/>
    <w:rsid w:val="001B39C6"/>
    <w:rsid w:val="00382ECE"/>
    <w:rsid w:val="00477CFD"/>
    <w:rsid w:val="004A7DED"/>
    <w:rsid w:val="005462AE"/>
    <w:rsid w:val="00555E1C"/>
    <w:rsid w:val="005F77A5"/>
    <w:rsid w:val="00711F84"/>
    <w:rsid w:val="00723A4D"/>
    <w:rsid w:val="008745F8"/>
    <w:rsid w:val="008D475E"/>
    <w:rsid w:val="00905389"/>
    <w:rsid w:val="00917BDE"/>
    <w:rsid w:val="00AE31D8"/>
    <w:rsid w:val="00D50A98"/>
    <w:rsid w:val="00E10259"/>
    <w:rsid w:val="00E83547"/>
    <w:rsid w:val="00F42B44"/>
    <w:rsid w:val="00F64A85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E5E7A5-3DB8-4031-9671-0125C1D1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E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77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7C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7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7C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2021-08-15T13:48:00Z</dcterms:created>
  <dcterms:modified xsi:type="dcterms:W3CDTF">2021-08-16T06:11:00Z</dcterms:modified>
</cp:coreProperties>
</file>