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C0" w:rsidRPr="00C03FC0" w:rsidRDefault="0059773E" w:rsidP="00C05D56">
      <w:pPr>
        <w:rPr>
          <w:rFonts w:ascii="黑体" w:eastAsia="黑体" w:hAnsi="宋体" w:cs="Times New Roman"/>
          <w:b/>
          <w:bCs/>
          <w:sz w:val="48"/>
          <w:szCs w:val="24"/>
        </w:rPr>
      </w:pPr>
      <w:r>
        <w:rPr>
          <w:rFonts w:hint="eastAsia"/>
        </w:rPr>
        <w:t xml:space="preserve">                        </w:t>
      </w:r>
      <w:r w:rsidR="00C03FC0" w:rsidRPr="00C03FC0">
        <w:rPr>
          <w:rFonts w:ascii="黑体" w:eastAsia="黑体" w:hAnsi="宋体" w:cs="Times New Roman" w:hint="eastAsia"/>
          <w:b/>
          <w:bCs/>
          <w:sz w:val="48"/>
          <w:szCs w:val="24"/>
        </w:rPr>
        <w:t xml:space="preserve">  水利部老年大学</w:t>
      </w:r>
    </w:p>
    <w:p w:rsidR="00C03FC0" w:rsidRPr="00C03FC0" w:rsidRDefault="00C03FC0" w:rsidP="00C03FC0">
      <w:pPr>
        <w:jc w:val="center"/>
        <w:rPr>
          <w:rFonts w:ascii="黑体" w:eastAsia="黑体" w:hAnsi="宋体" w:cs="Times New Roman"/>
          <w:b/>
          <w:bCs/>
          <w:sz w:val="48"/>
          <w:szCs w:val="24"/>
        </w:rPr>
      </w:pPr>
      <w:r w:rsidRPr="00C03FC0">
        <w:rPr>
          <w:rFonts w:ascii="黑体" w:eastAsia="黑体" w:hAnsi="宋体" w:cs="Times New Roman" w:hint="eastAsia"/>
          <w:b/>
          <w:bCs/>
          <w:sz w:val="48"/>
          <w:szCs w:val="24"/>
        </w:rPr>
        <w:t xml:space="preserve"> </w:t>
      </w:r>
      <w:r>
        <w:rPr>
          <w:rFonts w:ascii="黑体" w:eastAsia="黑体" w:hAnsi="宋体" w:cs="Times New Roman" w:hint="eastAsia"/>
          <w:b/>
          <w:bCs/>
          <w:sz w:val="48"/>
          <w:szCs w:val="24"/>
        </w:rPr>
        <w:t>电钢琴</w:t>
      </w:r>
      <w:r w:rsidR="00DF16C0">
        <w:rPr>
          <w:rFonts w:ascii="黑体" w:eastAsia="黑体" w:hAnsi="宋体" w:cs="Times New Roman" w:hint="eastAsia"/>
          <w:b/>
          <w:bCs/>
          <w:sz w:val="48"/>
          <w:szCs w:val="24"/>
        </w:rPr>
        <w:t>初</w:t>
      </w:r>
      <w:r>
        <w:rPr>
          <w:rFonts w:ascii="黑体" w:eastAsia="黑体" w:hAnsi="宋体" w:cs="Times New Roman" w:hint="eastAsia"/>
          <w:b/>
          <w:bCs/>
          <w:sz w:val="48"/>
          <w:szCs w:val="24"/>
        </w:rPr>
        <w:t>级班</w:t>
      </w:r>
      <w:r w:rsidRPr="00C03FC0">
        <w:rPr>
          <w:rFonts w:ascii="黑体" w:eastAsia="黑体" w:hAnsi="宋体" w:cs="Times New Roman" w:hint="eastAsia"/>
          <w:b/>
          <w:bCs/>
          <w:sz w:val="48"/>
          <w:szCs w:val="24"/>
        </w:rPr>
        <w:t>教学计划进度表</w:t>
      </w:r>
    </w:p>
    <w:p w:rsidR="00C03FC0" w:rsidRDefault="00C03FC0" w:rsidP="00C03FC0">
      <w:pPr>
        <w:rPr>
          <w:rFonts w:ascii="宋体" w:eastAsia="宋体" w:hAnsi="宋体" w:cs="Times New Roman"/>
          <w:sz w:val="36"/>
          <w:szCs w:val="36"/>
        </w:rPr>
      </w:pPr>
      <w:r>
        <w:rPr>
          <w:rFonts w:ascii="黑体" w:eastAsia="黑体" w:hAnsi="宋体" w:cs="Times New Roman" w:hint="eastAsia"/>
          <w:b/>
          <w:bCs/>
          <w:sz w:val="48"/>
          <w:szCs w:val="24"/>
        </w:rPr>
        <w:t xml:space="preserve">          </w:t>
      </w:r>
      <w:r w:rsidRPr="00C03FC0">
        <w:rPr>
          <w:rFonts w:ascii="宋体" w:eastAsia="宋体" w:hAnsi="宋体" w:cs="Times New Roman" w:hint="eastAsia"/>
          <w:sz w:val="36"/>
          <w:szCs w:val="36"/>
        </w:rPr>
        <w:t>（2024年春季学期）</w:t>
      </w:r>
    </w:p>
    <w:p w:rsidR="00C03FC0" w:rsidRPr="00C03FC0" w:rsidRDefault="00C03FC0" w:rsidP="00C03FC0">
      <w:pPr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>班级：电钢琴</w:t>
      </w:r>
      <w:r w:rsidR="00DF16C0">
        <w:rPr>
          <w:rFonts w:ascii="宋体" w:eastAsia="宋体" w:hAnsi="宋体" w:cs="宋体" w:hint="eastAsia"/>
          <w:sz w:val="28"/>
          <w:szCs w:val="28"/>
        </w:rPr>
        <w:t>初</w:t>
      </w:r>
      <w:r>
        <w:rPr>
          <w:rFonts w:ascii="宋体" w:eastAsia="宋体" w:hAnsi="宋体" w:cs="宋体" w:hint="eastAsia"/>
          <w:sz w:val="28"/>
          <w:szCs w:val="28"/>
        </w:rPr>
        <w:t>级</w:t>
      </w:r>
      <w:r w:rsidRPr="00C03FC0">
        <w:rPr>
          <w:rFonts w:ascii="宋体" w:eastAsia="宋体" w:hAnsi="宋体" w:cs="宋体" w:hint="eastAsia"/>
          <w:sz w:val="28"/>
          <w:szCs w:val="28"/>
        </w:rPr>
        <w:t>班     教师：</w:t>
      </w:r>
      <w:r w:rsidR="00DF16C0">
        <w:rPr>
          <w:rFonts w:ascii="宋体" w:eastAsia="宋体" w:hAnsi="宋体" w:cs="宋体" w:hint="eastAsia"/>
          <w:sz w:val="28"/>
          <w:szCs w:val="28"/>
        </w:rPr>
        <w:t>郝莉</w:t>
      </w:r>
      <w:r w:rsidRPr="00C03FC0">
        <w:rPr>
          <w:rFonts w:ascii="宋体" w:eastAsia="宋体" w:hAnsi="宋体" w:cs="宋体" w:hint="eastAsia"/>
          <w:sz w:val="28"/>
          <w:szCs w:val="28"/>
        </w:rPr>
        <w:t xml:space="preserve"> 时间：周</w:t>
      </w:r>
      <w:r w:rsidR="00DF16C0">
        <w:rPr>
          <w:rFonts w:ascii="宋体" w:eastAsia="宋体" w:hAnsi="宋体" w:cs="宋体" w:hint="eastAsia"/>
          <w:sz w:val="28"/>
          <w:szCs w:val="28"/>
        </w:rPr>
        <w:t>五</w:t>
      </w:r>
      <w:bookmarkStart w:id="0" w:name="_GoBack"/>
      <w:bookmarkEnd w:id="0"/>
      <w:r w:rsidRPr="00C03FC0">
        <w:rPr>
          <w:rFonts w:ascii="宋体" w:eastAsia="宋体" w:hAnsi="宋体" w:cs="宋体" w:hint="eastAsia"/>
          <w:sz w:val="28"/>
          <w:szCs w:val="28"/>
        </w:rPr>
        <w:t>下午14:00—15:30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7"/>
        <w:gridCol w:w="1968"/>
        <w:gridCol w:w="5347"/>
      </w:tblGrid>
      <w:tr w:rsidR="0047411B">
        <w:trPr>
          <w:trHeight w:val="652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周次</w:t>
            </w:r>
          </w:p>
        </w:tc>
        <w:tc>
          <w:tcPr>
            <w:tcW w:w="1968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5347" w:type="dxa"/>
          </w:tcPr>
          <w:p w:rsidR="0047411B" w:rsidRDefault="0059773E">
            <w:pPr>
              <w:spacing w:line="480" w:lineRule="auto"/>
              <w:jc w:val="center"/>
            </w:pPr>
            <w:r>
              <w:rPr>
                <w:rFonts w:hint="eastAsia"/>
              </w:rPr>
              <w:t>掌握要点</w:t>
            </w:r>
          </w:p>
        </w:tc>
      </w:tr>
      <w:tr w:rsidR="0047411B">
        <w:trPr>
          <w:trHeight w:hRule="exact" w:val="993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第一周</w:t>
            </w:r>
          </w:p>
        </w:tc>
        <w:tc>
          <w:tcPr>
            <w:tcW w:w="1968" w:type="dxa"/>
            <w:vAlign w:val="center"/>
          </w:tcPr>
          <w:p w:rsidR="0047411B" w:rsidRDefault="0047411B">
            <w:pPr>
              <w:widowControl/>
              <w:rPr>
                <w:sz w:val="24"/>
                <w:szCs w:val="24"/>
              </w:rPr>
            </w:pPr>
          </w:p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基本理论</w:t>
            </w:r>
          </w:p>
          <w:p w:rsidR="0047411B" w:rsidRDefault="0047411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认识五线谱，减少对简谱的依赖，养成看谱弹琴的习惯，⽽不是背谱。知道节奏节拍。</w:t>
            </w:r>
          </w:p>
          <w:p w:rsidR="0047411B" w:rsidRDefault="0047411B">
            <w:pPr>
              <w:widowControl/>
              <w:jc w:val="left"/>
              <w:rPr>
                <w:sz w:val="24"/>
                <w:szCs w:val="24"/>
              </w:rPr>
            </w:pPr>
          </w:p>
          <w:p w:rsidR="0047411B" w:rsidRDefault="0047411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7411B">
        <w:trPr>
          <w:trHeight w:val="938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第二周</w:t>
            </w:r>
          </w:p>
        </w:tc>
        <w:tc>
          <w:tcPr>
            <w:tcW w:w="1968" w:type="dxa"/>
            <w:vAlign w:val="center"/>
          </w:tcPr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基本理论</w:t>
            </w:r>
          </w:p>
          <w:p w:rsidR="0047411B" w:rsidRDefault="0047411B">
            <w:pPr>
              <w:widowControl/>
              <w:rPr>
                <w:b/>
              </w:rPr>
            </w:pPr>
          </w:p>
        </w:tc>
        <w:tc>
          <w:tcPr>
            <w:tcW w:w="5347" w:type="dxa"/>
          </w:tcPr>
          <w:p w:rsidR="0047411B" w:rsidRDefault="0047411B">
            <w:pPr>
              <w:widowControl/>
              <w:jc w:val="left"/>
            </w:pPr>
          </w:p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认识指法，正确的演奏姿势。</w:t>
            </w:r>
          </w:p>
          <w:p w:rsidR="0047411B" w:rsidRDefault="0047411B">
            <w:pPr>
              <w:spacing w:line="480" w:lineRule="auto"/>
            </w:pPr>
          </w:p>
        </w:tc>
      </w:tr>
      <w:tr w:rsidR="0047411B">
        <w:trPr>
          <w:trHeight w:val="652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第三周</w:t>
            </w:r>
          </w:p>
        </w:tc>
        <w:tc>
          <w:tcPr>
            <w:tcW w:w="1968" w:type="dxa"/>
            <w:vAlign w:val="center"/>
          </w:tcPr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⻩河⼤合唱</w:t>
            </w:r>
          </w:p>
          <w:p w:rsidR="0047411B" w:rsidRDefault="0047411B">
            <w:pPr>
              <w:widowControl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认识反复记号、延⾳线、休⽌符。学习双⼿共同演奏⼀个旋律</w:t>
            </w:r>
            <w:r>
              <w:rPr>
                <w:rFonts w:ascii="PingFangSC-Regular" w:eastAsia="PingFangSC-Regular" w:hAnsi="PingFangSC-Regular" w:cs="PingFangSC-Regular" w:hint="eastAsia"/>
                <w:color w:val="000008"/>
                <w:kern w:val="0"/>
                <w:sz w:val="24"/>
                <w:szCs w:val="24"/>
                <w:lang w:bidi="ar"/>
              </w:rPr>
              <w:t>.</w:t>
            </w:r>
          </w:p>
        </w:tc>
      </w:tr>
      <w:tr w:rsidR="0047411B">
        <w:trPr>
          <w:trHeight w:hRule="exact" w:val="1056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第四周</w:t>
            </w:r>
          </w:p>
        </w:tc>
        <w:tc>
          <w:tcPr>
            <w:tcW w:w="1968" w:type="dxa"/>
            <w:vAlign w:val="center"/>
          </w:tcPr>
          <w:p w:rsidR="0047411B" w:rsidRDefault="0047411B">
            <w:pPr>
              <w:widowControl/>
            </w:pPr>
          </w:p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蒙古⺠歌</w:t>
            </w:r>
          </w:p>
          <w:p w:rsidR="0047411B" w:rsidRDefault="0047411B">
            <w:pPr>
              <w:spacing w:line="480" w:lineRule="auto"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学习⺠族⼩调乐曲的演奏⻛格，熟悉慢速的演奏，注意呼吸的节奏。</w:t>
            </w:r>
          </w:p>
          <w:p w:rsidR="0047411B" w:rsidRDefault="0047411B">
            <w:pPr>
              <w:spacing w:line="480" w:lineRule="auto"/>
              <w:rPr>
                <w:szCs w:val="21"/>
              </w:rPr>
            </w:pPr>
          </w:p>
        </w:tc>
      </w:tr>
      <w:tr w:rsidR="0047411B">
        <w:trPr>
          <w:trHeight w:hRule="exact" w:val="652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第五周</w:t>
            </w:r>
          </w:p>
        </w:tc>
        <w:tc>
          <w:tcPr>
            <w:tcW w:w="1968" w:type="dxa"/>
            <w:vAlign w:val="center"/>
          </w:tcPr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法国童谣</w:t>
            </w:r>
          </w:p>
          <w:p w:rsidR="0047411B" w:rsidRDefault="0047411B">
            <w:pPr>
              <w:widowControl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学习⼋六拍节奏型，注意附点⼋分⾳符，学习加线的⾳符。</w:t>
            </w:r>
          </w:p>
          <w:p w:rsidR="0047411B" w:rsidRDefault="0047411B">
            <w:pPr>
              <w:widowControl/>
              <w:jc w:val="left"/>
            </w:pPr>
          </w:p>
          <w:p w:rsidR="0047411B" w:rsidRDefault="0047411B">
            <w:pPr>
              <w:spacing w:line="480" w:lineRule="auto"/>
            </w:pPr>
          </w:p>
        </w:tc>
      </w:tr>
      <w:tr w:rsidR="0047411B">
        <w:trPr>
          <w:trHeight w:val="722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第六周</w:t>
            </w:r>
          </w:p>
        </w:tc>
        <w:tc>
          <w:tcPr>
            <w:tcW w:w="1968" w:type="dxa"/>
            <w:vAlign w:val="center"/>
          </w:tcPr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⽣⽇快乐</w:t>
            </w:r>
          </w:p>
          <w:p w:rsidR="0047411B" w:rsidRDefault="0047411B">
            <w:pPr>
              <w:widowControl/>
              <w:rPr>
                <w:b/>
              </w:rPr>
            </w:pPr>
          </w:p>
        </w:tc>
        <w:tc>
          <w:tcPr>
            <w:tcW w:w="5347" w:type="dxa"/>
          </w:tcPr>
          <w:p w:rsidR="0047411B" w:rsidRDefault="0047411B">
            <w:pPr>
              <w:widowControl/>
              <w:jc w:val="left"/>
            </w:pPr>
          </w:p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学习断奏和连奏的区别和对⽐，⾃由延⻓记号的演奏、</w:t>
            </w:r>
          </w:p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乐句的划分表现</w:t>
            </w:r>
          </w:p>
        </w:tc>
      </w:tr>
      <w:tr w:rsidR="0047411B">
        <w:trPr>
          <w:trHeight w:val="652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968" w:type="dxa"/>
            <w:vAlign w:val="center"/>
          </w:tcPr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伦敦桥塌了</w:t>
            </w:r>
          </w:p>
          <w:p w:rsidR="0047411B" w:rsidRDefault="0047411B">
            <w:pPr>
              <w:widowControl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hint="eastAsia"/>
              </w:rPr>
              <w:t>学习双⼿配合，和弦的整⻬性，左⼿的跨越。</w:t>
            </w:r>
          </w:p>
          <w:p w:rsidR="0047411B" w:rsidRDefault="0047411B">
            <w:pPr>
              <w:spacing w:line="480" w:lineRule="auto"/>
            </w:pPr>
          </w:p>
        </w:tc>
      </w:tr>
      <w:tr w:rsidR="0047411B">
        <w:trPr>
          <w:trHeight w:val="652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第八周</w:t>
            </w:r>
          </w:p>
        </w:tc>
        <w:tc>
          <w:tcPr>
            <w:tcW w:w="1968" w:type="dxa"/>
            <w:vAlign w:val="center"/>
          </w:tcPr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⼩杜鹃</w:t>
            </w:r>
          </w:p>
          <w:p w:rsidR="0047411B" w:rsidRDefault="0047411B">
            <w:pPr>
              <w:widowControl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hint="eastAsia"/>
              </w:rPr>
              <w:t>能够把前边学过的技术很⾃然地应⽤到乐曲中，加强⼿</w:t>
            </w:r>
          </w:p>
          <w:p w:rsidR="0047411B" w:rsidRDefault="0059773E">
            <w:pPr>
              <w:widowControl/>
              <w:jc w:val="left"/>
            </w:pPr>
            <w:r>
              <w:rPr>
                <w:rFonts w:hint="eastAsia"/>
              </w:rPr>
              <w:t>指的独⽴性练习。</w:t>
            </w:r>
          </w:p>
        </w:tc>
      </w:tr>
      <w:tr w:rsidR="0047411B">
        <w:trPr>
          <w:trHeight w:hRule="exact" w:val="698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第九周</w:t>
            </w:r>
          </w:p>
        </w:tc>
        <w:tc>
          <w:tcPr>
            <w:tcW w:w="1968" w:type="dxa"/>
            <w:vAlign w:val="center"/>
          </w:tcPr>
          <w:p w:rsidR="0047411B" w:rsidRDefault="0047411B">
            <w:pPr>
              <w:widowControl/>
            </w:pPr>
          </w:p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我们举杯</w:t>
            </w:r>
          </w:p>
          <w:p w:rsidR="0047411B" w:rsidRDefault="0047411B">
            <w:pPr>
              <w:spacing w:line="480" w:lineRule="auto"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双⾳的学习，两个⼿指下键时间和⼒度的整⻬性。</w:t>
            </w:r>
          </w:p>
        </w:tc>
      </w:tr>
      <w:tr w:rsidR="0047411B">
        <w:trPr>
          <w:trHeight w:val="652"/>
        </w:trPr>
        <w:tc>
          <w:tcPr>
            <w:tcW w:w="1207" w:type="dxa"/>
            <w:vAlign w:val="center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第十周</w:t>
            </w:r>
          </w:p>
        </w:tc>
        <w:tc>
          <w:tcPr>
            <w:tcW w:w="1968" w:type="dxa"/>
            <w:vAlign w:val="center"/>
          </w:tcPr>
          <w:p w:rsidR="0047411B" w:rsidRDefault="0059773E">
            <w:pPr>
              <w:widowControl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欢乐颂</w:t>
            </w:r>
          </w:p>
          <w:p w:rsidR="0047411B" w:rsidRDefault="0047411B">
            <w:pPr>
              <w:widowControl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hint="eastAsia"/>
              </w:rPr>
              <w:t>⾳符的⼒度要扎实，两⼿都是⾼⾳谱号的演奏。</w:t>
            </w:r>
          </w:p>
        </w:tc>
      </w:tr>
      <w:tr w:rsidR="0047411B">
        <w:trPr>
          <w:trHeight w:val="652"/>
        </w:trPr>
        <w:tc>
          <w:tcPr>
            <w:tcW w:w="1207" w:type="dxa"/>
          </w:tcPr>
          <w:p w:rsidR="0047411B" w:rsidRDefault="0059773E">
            <w:pPr>
              <w:spacing w:line="480" w:lineRule="auto"/>
              <w:jc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1968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河边对⼝曲</w:t>
            </w:r>
          </w:p>
          <w:p w:rsidR="0047411B" w:rsidRDefault="0047411B">
            <w:pPr>
              <w:widowControl/>
              <w:jc w:val="left"/>
              <w:rPr>
                <w:b/>
              </w:rPr>
            </w:pPr>
          </w:p>
        </w:tc>
        <w:tc>
          <w:tcPr>
            <w:tcW w:w="5347" w:type="dxa"/>
          </w:tcPr>
          <w:p w:rsidR="0047411B" w:rsidRDefault="0047411B">
            <w:pPr>
              <w:widowControl/>
              <w:jc w:val="left"/>
            </w:pPr>
          </w:p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⾳符的⼒度要扎实，两⼿都是⾼⾳谱号的演奏。</w:t>
            </w:r>
          </w:p>
        </w:tc>
      </w:tr>
      <w:tr w:rsidR="0047411B">
        <w:trPr>
          <w:trHeight w:val="652"/>
        </w:trPr>
        <w:tc>
          <w:tcPr>
            <w:tcW w:w="1207" w:type="dxa"/>
          </w:tcPr>
          <w:p w:rsidR="0047411B" w:rsidRDefault="0059773E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第十二周</w:t>
            </w:r>
          </w:p>
        </w:tc>
        <w:tc>
          <w:tcPr>
            <w:tcW w:w="1968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乒乓歌</w:t>
            </w:r>
          </w:p>
          <w:p w:rsidR="0047411B" w:rsidRDefault="0047411B">
            <w:pPr>
              <w:widowControl/>
              <w:jc w:val="left"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hint="eastAsia"/>
              </w:rPr>
              <w:t>前后两个调的旋律，要注意结尾的区别。</w:t>
            </w:r>
          </w:p>
        </w:tc>
      </w:tr>
      <w:tr w:rsidR="0047411B">
        <w:trPr>
          <w:trHeight w:hRule="exact" w:val="1264"/>
        </w:trPr>
        <w:tc>
          <w:tcPr>
            <w:tcW w:w="1207" w:type="dxa"/>
          </w:tcPr>
          <w:p w:rsidR="0047411B" w:rsidRDefault="0059773E"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1968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颂祖国</w:t>
            </w:r>
          </w:p>
          <w:p w:rsidR="0047411B" w:rsidRDefault="0047411B">
            <w:pPr>
              <w:widowControl/>
              <w:jc w:val="left"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密集的⼗六分⾳符要演奏清晰，注意颗粒性，注意跳⾳</w:t>
            </w:r>
          </w:p>
          <w:p w:rsidR="0047411B" w:rsidRDefault="0059773E">
            <w:pPr>
              <w:spacing w:line="480" w:lineRule="auto"/>
            </w:pPr>
            <w:r>
              <w:rPr>
                <w:rFonts w:hint="eastAsia"/>
              </w:rPr>
              <w:t>的弹性。</w:t>
            </w:r>
          </w:p>
        </w:tc>
      </w:tr>
      <w:tr w:rsidR="0047411B">
        <w:trPr>
          <w:trHeight w:hRule="exact" w:val="1202"/>
        </w:trPr>
        <w:tc>
          <w:tcPr>
            <w:tcW w:w="1207" w:type="dxa"/>
          </w:tcPr>
          <w:p w:rsidR="0047411B" w:rsidRDefault="0059773E"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1968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⽥园交响曲主题</w:t>
            </w:r>
          </w:p>
          <w:p w:rsidR="0047411B" w:rsidRDefault="0047411B">
            <w:pPr>
              <w:widowControl/>
              <w:jc w:val="left"/>
            </w:pPr>
          </w:p>
          <w:p w:rsidR="0047411B" w:rsidRDefault="0047411B">
            <w:pPr>
              <w:spacing w:line="480" w:lineRule="auto"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四个乐句之间的呼吸要表现出来，左⼿的伴奏要尽量弹弱。</w:t>
            </w:r>
          </w:p>
        </w:tc>
      </w:tr>
      <w:tr w:rsidR="0047411B">
        <w:trPr>
          <w:trHeight w:hRule="exact" w:val="652"/>
        </w:trPr>
        <w:tc>
          <w:tcPr>
            <w:tcW w:w="1207" w:type="dxa"/>
          </w:tcPr>
          <w:p w:rsidR="0047411B" w:rsidRDefault="0059773E"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1968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可爱的⼀朵玫瑰花</w:t>
            </w:r>
          </w:p>
          <w:p w:rsidR="0047411B" w:rsidRDefault="0047411B">
            <w:pPr>
              <w:spacing w:line="480" w:lineRule="auto"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hint="eastAsia"/>
              </w:rPr>
              <w:t>第⼆⾏的复调要把两个⼿分开，注意强弱配合。</w:t>
            </w:r>
          </w:p>
        </w:tc>
      </w:tr>
      <w:tr w:rsidR="0047411B">
        <w:trPr>
          <w:trHeight w:hRule="exact" w:val="1136"/>
        </w:trPr>
        <w:tc>
          <w:tcPr>
            <w:tcW w:w="1207" w:type="dxa"/>
          </w:tcPr>
          <w:p w:rsidR="0047411B" w:rsidRDefault="0059773E"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1968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 xml:space="preserve">⾃新⼤陆交响曲主题 </w:t>
            </w:r>
          </w:p>
          <w:p w:rsidR="0047411B" w:rsidRDefault="0047411B">
            <w:pPr>
              <w:widowControl/>
              <w:jc w:val="left"/>
              <w:rPr>
                <w:b/>
              </w:rPr>
            </w:pPr>
          </w:p>
        </w:tc>
        <w:tc>
          <w:tcPr>
            <w:tcW w:w="5347" w:type="dxa"/>
          </w:tcPr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 xml:space="preserve">注意双⾳旋律的清楚度，左⼿和弦的四指要下键有⼒ </w:t>
            </w:r>
          </w:p>
          <w:p w:rsidR="0047411B" w:rsidRDefault="0059773E">
            <w:pPr>
              <w:widowControl/>
              <w:jc w:val="left"/>
            </w:pPr>
            <w:r>
              <w:rPr>
                <w:rFonts w:ascii="PingFangSC-Regular" w:eastAsia="PingFangSC-Regular" w:hAnsi="PingFangSC-Regular" w:cs="PingFangSC-Regular"/>
                <w:color w:val="000008"/>
                <w:kern w:val="0"/>
                <w:sz w:val="24"/>
                <w:szCs w:val="24"/>
                <w:lang w:bidi="ar"/>
              </w:rPr>
              <w:t>度。</w:t>
            </w:r>
          </w:p>
          <w:p w:rsidR="0047411B" w:rsidRDefault="0047411B">
            <w:pPr>
              <w:widowControl/>
              <w:jc w:val="left"/>
            </w:pPr>
          </w:p>
        </w:tc>
      </w:tr>
    </w:tbl>
    <w:p w:rsidR="0047411B" w:rsidRDefault="0047411B"/>
    <w:sectPr w:rsidR="0047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C0" w:rsidRDefault="00C03FC0" w:rsidP="00C03FC0">
      <w:r>
        <w:separator/>
      </w:r>
    </w:p>
  </w:endnote>
  <w:endnote w:type="continuationSeparator" w:id="0">
    <w:p w:rsidR="00C03FC0" w:rsidRDefault="00C03FC0" w:rsidP="00C0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C0" w:rsidRDefault="00C03FC0" w:rsidP="00C03FC0">
      <w:r>
        <w:separator/>
      </w:r>
    </w:p>
  </w:footnote>
  <w:footnote w:type="continuationSeparator" w:id="0">
    <w:p w:rsidR="00C03FC0" w:rsidRDefault="00C03FC0" w:rsidP="00C03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zUwYjQ1ZTdmZDJmNzkzMTcxOTY4ODY5NmQ2YzAifQ=="/>
  </w:docVars>
  <w:rsids>
    <w:rsidRoot w:val="00697570"/>
    <w:rsid w:val="0003208F"/>
    <w:rsid w:val="000557CE"/>
    <w:rsid w:val="000B03E2"/>
    <w:rsid w:val="000C1364"/>
    <w:rsid w:val="000E217D"/>
    <w:rsid w:val="0010114C"/>
    <w:rsid w:val="00103849"/>
    <w:rsid w:val="00106B2B"/>
    <w:rsid w:val="00123DDA"/>
    <w:rsid w:val="00151973"/>
    <w:rsid w:val="001527F2"/>
    <w:rsid w:val="0015619F"/>
    <w:rsid w:val="001C2D3D"/>
    <w:rsid w:val="00227FB7"/>
    <w:rsid w:val="0024073C"/>
    <w:rsid w:val="00252578"/>
    <w:rsid w:val="00274389"/>
    <w:rsid w:val="0028164E"/>
    <w:rsid w:val="002854CC"/>
    <w:rsid w:val="002B7381"/>
    <w:rsid w:val="0030058A"/>
    <w:rsid w:val="003D7C21"/>
    <w:rsid w:val="003F7B24"/>
    <w:rsid w:val="00453854"/>
    <w:rsid w:val="0047411B"/>
    <w:rsid w:val="0047669B"/>
    <w:rsid w:val="00541DD7"/>
    <w:rsid w:val="0059773E"/>
    <w:rsid w:val="005A5F37"/>
    <w:rsid w:val="00613C90"/>
    <w:rsid w:val="00690AFA"/>
    <w:rsid w:val="00697570"/>
    <w:rsid w:val="006D6563"/>
    <w:rsid w:val="00742125"/>
    <w:rsid w:val="007578C8"/>
    <w:rsid w:val="007C5097"/>
    <w:rsid w:val="008466C0"/>
    <w:rsid w:val="0084772A"/>
    <w:rsid w:val="009B02CC"/>
    <w:rsid w:val="009B6548"/>
    <w:rsid w:val="009C1979"/>
    <w:rsid w:val="009C21DB"/>
    <w:rsid w:val="009C2C36"/>
    <w:rsid w:val="00A462B8"/>
    <w:rsid w:val="00A87980"/>
    <w:rsid w:val="00AA6D6B"/>
    <w:rsid w:val="00AB7F8D"/>
    <w:rsid w:val="00BC7232"/>
    <w:rsid w:val="00BE4D57"/>
    <w:rsid w:val="00C03FC0"/>
    <w:rsid w:val="00C078AE"/>
    <w:rsid w:val="00C102CD"/>
    <w:rsid w:val="00C41732"/>
    <w:rsid w:val="00C62246"/>
    <w:rsid w:val="00CB6DDA"/>
    <w:rsid w:val="00CF2D27"/>
    <w:rsid w:val="00D761F6"/>
    <w:rsid w:val="00D815C9"/>
    <w:rsid w:val="00DC2E02"/>
    <w:rsid w:val="00DE16FE"/>
    <w:rsid w:val="00DF16C0"/>
    <w:rsid w:val="00DF7985"/>
    <w:rsid w:val="00E05AF2"/>
    <w:rsid w:val="00E16049"/>
    <w:rsid w:val="00E77560"/>
    <w:rsid w:val="00E847CC"/>
    <w:rsid w:val="00E86D8B"/>
    <w:rsid w:val="00EB39D9"/>
    <w:rsid w:val="00EF5C8E"/>
    <w:rsid w:val="00F10885"/>
    <w:rsid w:val="00F15841"/>
    <w:rsid w:val="00F3590D"/>
    <w:rsid w:val="00F664D2"/>
    <w:rsid w:val="00F75F54"/>
    <w:rsid w:val="00FC43DD"/>
    <w:rsid w:val="00FC4E3A"/>
    <w:rsid w:val="00FD7EA3"/>
    <w:rsid w:val="00FE5F18"/>
    <w:rsid w:val="4BF46F2B"/>
    <w:rsid w:val="52E738AC"/>
    <w:rsid w:val="5AC43766"/>
    <w:rsid w:val="658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D2F810B-8021-4491-9EF4-E6909E0B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7E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7E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0AC6-F628-4CF5-97BA-5D0445B7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冯晓彤</cp:lastModifiedBy>
  <cp:revision>6</cp:revision>
  <cp:lastPrinted>2024-02-18T07:49:00Z</cp:lastPrinted>
  <dcterms:created xsi:type="dcterms:W3CDTF">2024-01-31T02:16:00Z</dcterms:created>
  <dcterms:modified xsi:type="dcterms:W3CDTF">2024-02-18T07:49:00Z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5FEA5C17896F41B9ACE284988080D7C6_13</vt:lpwstr>
  </property>
</Properties>
</file>